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1DB3" w14:textId="77777777" w:rsidR="00A22A30" w:rsidRPr="00C71E11" w:rsidRDefault="00C71E11" w:rsidP="00AB3A09">
      <w:pPr>
        <w:spacing w:after="160"/>
        <w:jc w:val="center"/>
        <w:rPr>
          <w:color w:val="4472C4" w:themeColor="accent1"/>
          <w:sz w:val="28"/>
          <w:szCs w:val="28"/>
        </w:rPr>
      </w:pPr>
      <w:r w:rsidRPr="00C71E11">
        <w:rPr>
          <w:b/>
          <w:bCs/>
          <w:color w:val="4472C4" w:themeColor="accent1"/>
          <w:sz w:val="32"/>
          <w:szCs w:val="32"/>
        </w:rPr>
        <w:t>Justification Letter — Government / Public Agency Attendee</w:t>
      </w:r>
    </w:p>
    <w:p w14:paraId="34649FE0" w14:textId="77777777" w:rsidR="00C71E11" w:rsidRDefault="00C71E11">
      <w:pPr>
        <w:spacing w:after="80"/>
        <w:rPr>
          <w:b/>
          <w:bCs/>
          <w:sz w:val="24"/>
          <w:szCs w:val="24"/>
        </w:rPr>
      </w:pPr>
    </w:p>
    <w:p w14:paraId="4B3430FF" w14:textId="234F4DB3" w:rsidR="00A22A30" w:rsidRPr="00AB3A09" w:rsidRDefault="00C71E11">
      <w:pPr>
        <w:spacing w:after="80"/>
        <w:rPr>
          <w:sz w:val="24"/>
          <w:szCs w:val="24"/>
        </w:rPr>
      </w:pPr>
      <w:r w:rsidRPr="00AB3A09">
        <w:rPr>
          <w:b/>
          <w:bCs/>
          <w:sz w:val="24"/>
          <w:szCs w:val="24"/>
        </w:rPr>
        <w:t xml:space="preserve">Subject: </w:t>
      </w:r>
      <w:r w:rsidRPr="00AB3A09">
        <w:rPr>
          <w:sz w:val="24"/>
          <w:szCs w:val="24"/>
        </w:rPr>
        <w:t>Request to Attend the 2026 CSEF Conference (Sep 8–10, 2026, Kansas City, MO)</w:t>
      </w:r>
    </w:p>
    <w:p w14:paraId="2C487FBA" w14:textId="77777777" w:rsidR="00A22A30" w:rsidRPr="00AB3A09" w:rsidRDefault="00C71E11">
      <w:pPr>
        <w:spacing w:after="80"/>
        <w:rPr>
          <w:sz w:val="24"/>
          <w:szCs w:val="24"/>
        </w:rPr>
      </w:pPr>
      <w:r w:rsidRPr="00AB3A09">
        <w:rPr>
          <w:b/>
          <w:bCs/>
          <w:sz w:val="24"/>
          <w:szCs w:val="24"/>
        </w:rPr>
        <w:t xml:space="preserve">To: </w:t>
      </w:r>
    </w:p>
    <w:p w14:paraId="7458DB48" w14:textId="77777777" w:rsidR="00A22A30" w:rsidRPr="00AB3A09" w:rsidRDefault="00C71E11">
      <w:pPr>
        <w:spacing w:after="80"/>
        <w:rPr>
          <w:sz w:val="24"/>
          <w:szCs w:val="24"/>
        </w:rPr>
      </w:pPr>
      <w:r w:rsidRPr="00AB3A09">
        <w:rPr>
          <w:b/>
          <w:bCs/>
          <w:sz w:val="24"/>
          <w:szCs w:val="24"/>
        </w:rPr>
        <w:t xml:space="preserve">From: </w:t>
      </w:r>
    </w:p>
    <w:p w14:paraId="0FE15BC2" w14:textId="77777777" w:rsidR="00A22A30" w:rsidRPr="00AB3A09" w:rsidRDefault="00C71E11">
      <w:pPr>
        <w:spacing w:after="160"/>
        <w:rPr>
          <w:sz w:val="24"/>
          <w:szCs w:val="24"/>
        </w:rPr>
      </w:pPr>
      <w:r w:rsidRPr="00AB3A09">
        <w:rPr>
          <w:b/>
          <w:bCs/>
          <w:sz w:val="24"/>
          <w:szCs w:val="24"/>
        </w:rPr>
        <w:t xml:space="preserve">Date: </w:t>
      </w:r>
    </w:p>
    <w:p w14:paraId="5389EC08" w14:textId="77777777" w:rsidR="00A22A30" w:rsidRPr="00AB3A09" w:rsidRDefault="00C71E11">
      <w:pPr>
        <w:pStyle w:val="Heading2"/>
        <w:spacing w:after="80"/>
        <w:rPr>
          <w:sz w:val="28"/>
          <w:szCs w:val="28"/>
        </w:rPr>
      </w:pPr>
      <w:r w:rsidRPr="00AB3A09">
        <w:rPr>
          <w:sz w:val="28"/>
          <w:szCs w:val="28"/>
        </w:rPr>
        <w:t>Request</w:t>
      </w:r>
    </w:p>
    <w:p w14:paraId="6D30BE7A" w14:textId="77777777" w:rsidR="00A22A30" w:rsidRPr="00AB3A09" w:rsidRDefault="00C71E11">
      <w:pPr>
        <w:spacing w:after="160"/>
        <w:rPr>
          <w:sz w:val="24"/>
          <w:szCs w:val="24"/>
        </w:rPr>
      </w:pPr>
      <w:r w:rsidRPr="00AB3A09">
        <w:rPr>
          <w:sz w:val="24"/>
          <w:szCs w:val="24"/>
        </w:rPr>
        <w:t>I request approval to attend the 2026 CSEF Conference (Sep 8–10, Kansas City Convention Center, Kansas City, MO). The Convention, Sports &amp; Entertainment Facilities Conference (CSEF) — csefconference.com — is the premier event for public officials responsible for the planning, financing, procurement, and delivery of major convention, sports, and entertainment facilities. It brings together local government officials, sports commissions, economic development agencies, university facility executives, and the p</w:t>
      </w:r>
      <w:r w:rsidRPr="00AB3A09">
        <w:rPr>
          <w:sz w:val="24"/>
          <w:szCs w:val="24"/>
        </w:rPr>
        <w:t>rivate sector partners working on real capital projects nationwide.</w:t>
      </w:r>
    </w:p>
    <w:p w14:paraId="02084AC8" w14:textId="77777777" w:rsidR="00A22A30" w:rsidRPr="00AB3A09" w:rsidRDefault="00C71E11">
      <w:pPr>
        <w:pStyle w:val="Heading2"/>
        <w:spacing w:after="80"/>
        <w:rPr>
          <w:sz w:val="28"/>
          <w:szCs w:val="28"/>
        </w:rPr>
      </w:pPr>
      <w:r w:rsidRPr="00AB3A09">
        <w:rPr>
          <w:sz w:val="28"/>
          <w:szCs w:val="28"/>
        </w:rPr>
        <w:t>Why Attendance Is a Strong Investment</w:t>
      </w:r>
    </w:p>
    <w:p w14:paraId="132982E5"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Procurement &amp; P3 best practices. </w:t>
      </w:r>
      <w:r w:rsidRPr="00AB3A09">
        <w:rPr>
          <w:sz w:val="24"/>
          <w:szCs w:val="24"/>
        </w:rPr>
        <w:t>A public-sector-only breakfast workshop on procuring professional and vendor services offers practical guidance directly applicable to current and upcoming projects.</w:t>
      </w:r>
    </w:p>
    <w:p w14:paraId="3A8F536D"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Peer learning from active projects. </w:t>
      </w:r>
      <w:r w:rsidRPr="00AB3A09">
        <w:rPr>
          <w:sz w:val="24"/>
          <w:szCs w:val="24"/>
        </w:rPr>
        <w:t>Case studies on CPKC Stadium, the University of Kansas Gateway District Phase 2, and University of Missouri Memorial Stadium — all complex P3 and public venue developments. (Verify current agenda at csefconference.com before submitting.)</w:t>
      </w:r>
    </w:p>
    <w:p w14:paraId="27804AF9"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FIFA World Cup host city coordination. </w:t>
      </w:r>
      <w:r w:rsidRPr="00AB3A09">
        <w:rPr>
          <w:sz w:val="24"/>
          <w:szCs w:val="24"/>
        </w:rPr>
        <w:t>Senior executives from NYNJ, Philadelphia, Dallas, and Kansas City share lessons on large-scale venue delivery and cross-sector coordination under compressed timelines.</w:t>
      </w:r>
    </w:p>
    <w:p w14:paraId="7FC90C25"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Networking. </w:t>
      </w:r>
      <w:r w:rsidRPr="00AB3A09">
        <w:rPr>
          <w:sz w:val="24"/>
          <w:szCs w:val="24"/>
        </w:rPr>
        <w:t>400+ attendees across city governments, universities, sports franchises, A/E/C firms, and financial advisors — structured 1-on-1s, roundtables, and facility tours.</w:t>
      </w:r>
    </w:p>
    <w:p w14:paraId="5EE3D18A"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Professional development. </w:t>
      </w:r>
      <w:r w:rsidRPr="00AB3A09">
        <w:rPr>
          <w:sz w:val="24"/>
          <w:szCs w:val="24"/>
        </w:rPr>
        <w:t>Attendees receive a certificate of attendance, documenting participation for professional development records.</w:t>
      </w:r>
    </w:p>
    <w:p w14:paraId="64EA7CC3" w14:textId="77777777" w:rsidR="00A22A30" w:rsidRPr="00AB3A09" w:rsidRDefault="00A22A30">
      <w:pPr>
        <w:spacing w:after="80"/>
        <w:rPr>
          <w:sz w:val="24"/>
          <w:szCs w:val="24"/>
        </w:rPr>
      </w:pPr>
    </w:p>
    <w:p w14:paraId="12C138AF" w14:textId="77777777" w:rsidR="00A22A30" w:rsidRPr="00AB3A09" w:rsidRDefault="00C71E11">
      <w:pPr>
        <w:pStyle w:val="Heading2"/>
        <w:spacing w:after="80"/>
        <w:rPr>
          <w:sz w:val="28"/>
          <w:szCs w:val="28"/>
        </w:rPr>
      </w:pPr>
      <w:r w:rsidRPr="00AB3A09">
        <w:rPr>
          <w:sz w:val="28"/>
          <w:szCs w:val="28"/>
        </w:rPr>
        <w:t>Anticipated Takeaways</w:t>
      </w:r>
    </w:p>
    <w:p w14:paraId="19A83E02" w14:textId="77777777" w:rsidR="00A22A30" w:rsidRPr="00AB3A09" w:rsidRDefault="00C71E11">
      <w:pPr>
        <w:pStyle w:val="ListParagraph"/>
        <w:numPr>
          <w:ilvl w:val="0"/>
          <w:numId w:val="1"/>
        </w:numPr>
        <w:spacing w:after="80"/>
        <w:rPr>
          <w:sz w:val="24"/>
          <w:szCs w:val="24"/>
        </w:rPr>
      </w:pPr>
      <w:r w:rsidRPr="00AB3A09">
        <w:rPr>
          <w:sz w:val="24"/>
          <w:szCs w:val="24"/>
        </w:rPr>
        <w:t>Practical procurement and RFP strategies applicable to current and upcoming projects.</w:t>
      </w:r>
    </w:p>
    <w:p w14:paraId="665FA18D" w14:textId="77777777" w:rsidR="00A22A30" w:rsidRPr="00AB3A09" w:rsidRDefault="00C71E11">
      <w:pPr>
        <w:pStyle w:val="ListParagraph"/>
        <w:numPr>
          <w:ilvl w:val="0"/>
          <w:numId w:val="1"/>
        </w:numPr>
        <w:spacing w:after="80"/>
        <w:rPr>
          <w:sz w:val="24"/>
          <w:szCs w:val="24"/>
        </w:rPr>
      </w:pPr>
      <w:r w:rsidRPr="00AB3A09">
        <w:rPr>
          <w:sz w:val="24"/>
          <w:szCs w:val="24"/>
        </w:rPr>
        <w:t>Delivery model insights from peer public agencies on comparable venue and P3 work.</w:t>
      </w:r>
    </w:p>
    <w:p w14:paraId="7DC57B5B" w14:textId="77777777" w:rsidR="00A22A30" w:rsidRPr="00AB3A09" w:rsidRDefault="00C71E11">
      <w:pPr>
        <w:pStyle w:val="ListParagraph"/>
        <w:numPr>
          <w:ilvl w:val="0"/>
          <w:numId w:val="1"/>
        </w:numPr>
        <w:spacing w:after="80"/>
        <w:rPr>
          <w:sz w:val="24"/>
          <w:szCs w:val="24"/>
        </w:rPr>
      </w:pPr>
      <w:r w:rsidRPr="00AB3A09">
        <w:rPr>
          <w:sz w:val="24"/>
          <w:szCs w:val="24"/>
        </w:rPr>
        <w:t>Face-to-face access to the architects, contractors, financiers, and legal advisors actively executing P3 venue projects — the private sector partners whose expertise is critical to our own project timelines.</w:t>
      </w:r>
    </w:p>
    <w:p w14:paraId="1C1A49CC" w14:textId="77777777" w:rsidR="00A22A30" w:rsidRPr="00AB3A09" w:rsidRDefault="00C71E11">
      <w:pPr>
        <w:pStyle w:val="ListParagraph"/>
        <w:numPr>
          <w:ilvl w:val="0"/>
          <w:numId w:val="1"/>
        </w:numPr>
        <w:spacing w:after="80"/>
        <w:rPr>
          <w:sz w:val="24"/>
          <w:szCs w:val="24"/>
        </w:rPr>
      </w:pPr>
      <w:r w:rsidRPr="00AB3A09">
        <w:rPr>
          <w:sz w:val="24"/>
          <w:szCs w:val="24"/>
        </w:rPr>
        <w:t>Expanded contacts across government, industry, and legal/financial advisory to support issue resolution and partnership development.</w:t>
      </w:r>
    </w:p>
    <w:p w14:paraId="378DD4C7" w14:textId="77777777" w:rsidR="00A22A30" w:rsidRPr="00AB3A09" w:rsidRDefault="00C71E11">
      <w:pPr>
        <w:pStyle w:val="ListParagraph"/>
        <w:numPr>
          <w:ilvl w:val="0"/>
          <w:numId w:val="1"/>
        </w:numPr>
        <w:spacing w:after="80"/>
        <w:rPr>
          <w:sz w:val="24"/>
          <w:szCs w:val="24"/>
        </w:rPr>
      </w:pPr>
      <w:r w:rsidRPr="00AB3A09">
        <w:rPr>
          <w:sz w:val="24"/>
          <w:szCs w:val="24"/>
        </w:rPr>
        <w:t>Written brief to leadership within five business days of return.</w:t>
      </w:r>
    </w:p>
    <w:p w14:paraId="57289C93" w14:textId="77777777" w:rsidR="00A22A30" w:rsidRPr="00AB3A09" w:rsidRDefault="00C71E11">
      <w:pPr>
        <w:pStyle w:val="ListParagraph"/>
        <w:numPr>
          <w:ilvl w:val="0"/>
          <w:numId w:val="1"/>
        </w:numPr>
        <w:spacing w:after="80"/>
        <w:rPr>
          <w:sz w:val="24"/>
          <w:szCs w:val="24"/>
        </w:rPr>
      </w:pPr>
      <w:r w:rsidRPr="00AB3A09">
        <w:rPr>
          <w:sz w:val="24"/>
          <w:szCs w:val="24"/>
        </w:rPr>
        <w:t>Certificate of attendance for professional development records.</w:t>
      </w:r>
    </w:p>
    <w:p w14:paraId="4C0B9BC7" w14:textId="77777777" w:rsidR="00A22A30" w:rsidRPr="00AB3A09" w:rsidRDefault="00A22A30">
      <w:pPr>
        <w:spacing w:after="80"/>
        <w:rPr>
          <w:sz w:val="24"/>
          <w:szCs w:val="24"/>
        </w:rPr>
      </w:pPr>
    </w:p>
    <w:p w14:paraId="7463FC1A" w14:textId="77777777" w:rsidR="00A22A30" w:rsidRPr="00AB3A09" w:rsidRDefault="00C71E11">
      <w:pPr>
        <w:pStyle w:val="Heading2"/>
        <w:spacing w:after="80"/>
        <w:rPr>
          <w:sz w:val="28"/>
          <w:szCs w:val="28"/>
        </w:rPr>
      </w:pPr>
      <w:r w:rsidRPr="00AB3A09">
        <w:rPr>
          <w:sz w:val="28"/>
          <w:szCs w:val="28"/>
        </w:rPr>
        <w:t>Cost (Not-to-Exceed)</w:t>
      </w:r>
    </w:p>
    <w:p w14:paraId="3ACB7758" w14:textId="77777777" w:rsidR="00A22A30" w:rsidRPr="00AB3A09" w:rsidRDefault="00C71E11">
      <w:pPr>
        <w:spacing w:after="80"/>
        <w:rPr>
          <w:sz w:val="24"/>
          <w:szCs w:val="24"/>
        </w:rPr>
      </w:pPr>
      <w:r w:rsidRPr="00AB3A09">
        <w:rPr>
          <w:sz w:val="24"/>
          <w:szCs w:val="24"/>
        </w:rPr>
        <w:t xml:space="preserve">CSEF offers a reduced registration rate for government and public agency attendees in recognition of public sector budget constraints. </w:t>
      </w:r>
    </w:p>
    <w:p w14:paraId="2AAE3539" w14:textId="6A76EC82" w:rsidR="00A22A30" w:rsidRPr="00AB3A09" w:rsidRDefault="00C71E11">
      <w:pPr>
        <w:pStyle w:val="ListParagraph"/>
        <w:numPr>
          <w:ilvl w:val="0"/>
          <w:numId w:val="1"/>
        </w:numPr>
        <w:spacing w:after="80"/>
        <w:rPr>
          <w:sz w:val="24"/>
          <w:szCs w:val="24"/>
        </w:rPr>
      </w:pPr>
      <w:r w:rsidRPr="00AB3A09">
        <w:rPr>
          <w:b/>
          <w:bCs/>
          <w:sz w:val="24"/>
          <w:szCs w:val="24"/>
        </w:rPr>
        <w:t xml:space="preserve">Registration: </w:t>
      </w:r>
      <w:r w:rsidRPr="00AB3A09">
        <w:rPr>
          <w:sz w:val="24"/>
          <w:szCs w:val="24"/>
        </w:rPr>
        <w:t xml:space="preserve">$495 Advanced </w:t>
      </w:r>
      <w:r w:rsidR="00AB3A09" w:rsidRPr="00AB3A09">
        <w:rPr>
          <w:sz w:val="24"/>
          <w:szCs w:val="24"/>
        </w:rPr>
        <w:t xml:space="preserve">rate </w:t>
      </w:r>
      <w:r w:rsidRPr="00AB3A09">
        <w:rPr>
          <w:sz w:val="24"/>
          <w:szCs w:val="24"/>
        </w:rPr>
        <w:t>(expires 08/07/2026) | $595 Standard</w:t>
      </w:r>
      <w:r w:rsidR="00AB3A09" w:rsidRPr="00AB3A09">
        <w:rPr>
          <w:sz w:val="24"/>
          <w:szCs w:val="24"/>
        </w:rPr>
        <w:t xml:space="preserve"> rate</w:t>
      </w:r>
    </w:p>
    <w:p w14:paraId="783CA5C5"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Travel: </w:t>
      </w:r>
      <w:r w:rsidRPr="00AB3A09">
        <w:rPr>
          <w:sz w:val="24"/>
          <w:szCs w:val="24"/>
        </w:rPr>
        <w:t>${{estimate}}</w:t>
      </w:r>
    </w:p>
    <w:p w14:paraId="49B05D25" w14:textId="77777777" w:rsidR="00A22A30" w:rsidRPr="00AB3A09" w:rsidRDefault="00C71E11">
      <w:pPr>
        <w:pStyle w:val="ListParagraph"/>
        <w:numPr>
          <w:ilvl w:val="0"/>
          <w:numId w:val="1"/>
        </w:numPr>
        <w:spacing w:after="80"/>
        <w:rPr>
          <w:sz w:val="24"/>
          <w:szCs w:val="24"/>
        </w:rPr>
      </w:pPr>
      <w:r w:rsidRPr="00AB3A09">
        <w:rPr>
          <w:b/>
          <w:bCs/>
          <w:sz w:val="24"/>
          <w:szCs w:val="24"/>
        </w:rPr>
        <w:t xml:space="preserve">Lodging/Per Diem (GSA): </w:t>
      </w:r>
      <w:r w:rsidRPr="00AB3A09">
        <w:rPr>
          <w:sz w:val="24"/>
          <w:szCs w:val="24"/>
        </w:rPr>
        <w:t>${{estimate}}</w:t>
      </w:r>
    </w:p>
    <w:p w14:paraId="65C5A5CF" w14:textId="77777777" w:rsidR="00AB3A09" w:rsidRDefault="00AB3A09">
      <w:pPr>
        <w:spacing w:after="80"/>
        <w:rPr>
          <w:b/>
          <w:bCs/>
          <w:sz w:val="24"/>
          <w:szCs w:val="24"/>
        </w:rPr>
      </w:pPr>
    </w:p>
    <w:p w14:paraId="0DF2218C" w14:textId="630584D4" w:rsidR="00A22A30" w:rsidRPr="00AB3A09" w:rsidRDefault="00C71E11">
      <w:pPr>
        <w:spacing w:after="80"/>
        <w:rPr>
          <w:sz w:val="24"/>
          <w:szCs w:val="24"/>
        </w:rPr>
      </w:pPr>
      <w:r w:rsidRPr="00AB3A09">
        <w:rPr>
          <w:b/>
          <w:bCs/>
          <w:sz w:val="24"/>
          <w:szCs w:val="24"/>
        </w:rPr>
        <w:t xml:space="preserve">Total NTE: </w:t>
      </w:r>
      <w:r w:rsidRPr="00AB3A09">
        <w:rPr>
          <w:sz w:val="24"/>
          <w:szCs w:val="24"/>
        </w:rPr>
        <w:t>${{total}}</w:t>
      </w:r>
    </w:p>
    <w:p w14:paraId="1CFDA7D1" w14:textId="77777777" w:rsidR="00A22A30" w:rsidRPr="00AB3A09" w:rsidRDefault="00C71E11">
      <w:pPr>
        <w:spacing w:after="160"/>
        <w:rPr>
          <w:sz w:val="24"/>
          <w:szCs w:val="24"/>
        </w:rPr>
      </w:pPr>
      <w:r w:rsidRPr="00AB3A09">
        <w:rPr>
          <w:sz w:val="24"/>
          <w:szCs w:val="24"/>
        </w:rPr>
        <w:t>(Attendance will comply with all applicable ethics, travel, and training policies. No gifts or exclusive benefits are offered. See attached Cost Worksheet for full line-item breakdown.)</w:t>
      </w:r>
    </w:p>
    <w:p w14:paraId="4A1BB9FE" w14:textId="77777777" w:rsidR="00A22A30" w:rsidRPr="00AB3A09" w:rsidRDefault="00C71E11">
      <w:pPr>
        <w:pStyle w:val="Heading2"/>
        <w:spacing w:after="80"/>
        <w:rPr>
          <w:sz w:val="28"/>
          <w:szCs w:val="28"/>
        </w:rPr>
      </w:pPr>
      <w:r w:rsidRPr="00AB3A09">
        <w:rPr>
          <w:sz w:val="28"/>
          <w:szCs w:val="28"/>
        </w:rPr>
        <w:t>Time Away / Coverage</w:t>
      </w:r>
    </w:p>
    <w:p w14:paraId="24BB208A" w14:textId="77777777" w:rsidR="00A22A30" w:rsidRPr="00AB3A09" w:rsidRDefault="00C71E11">
      <w:pPr>
        <w:spacing w:after="160"/>
        <w:rPr>
          <w:sz w:val="24"/>
          <w:szCs w:val="24"/>
        </w:rPr>
      </w:pPr>
      <w:r w:rsidRPr="00AB3A09">
        <w:rPr>
          <w:sz w:val="24"/>
          <w:szCs w:val="24"/>
        </w:rPr>
        <w:t>{{#}} workdays on site; coverage by {{colleague/team}}.</w:t>
      </w:r>
    </w:p>
    <w:p w14:paraId="39DC0AC0" w14:textId="77777777" w:rsidR="00A22A30" w:rsidRPr="00AB3A09" w:rsidRDefault="00C71E11">
      <w:pPr>
        <w:pStyle w:val="Heading2"/>
        <w:spacing w:after="80"/>
        <w:rPr>
          <w:sz w:val="28"/>
          <w:szCs w:val="28"/>
        </w:rPr>
      </w:pPr>
      <w:r w:rsidRPr="00AB3A09">
        <w:rPr>
          <w:sz w:val="28"/>
          <w:szCs w:val="28"/>
        </w:rPr>
        <w:t>Return on Investment</w:t>
      </w:r>
    </w:p>
    <w:p w14:paraId="49953F91" w14:textId="77777777" w:rsidR="00A22A30" w:rsidRPr="00AB3A09" w:rsidRDefault="00C71E11">
      <w:pPr>
        <w:spacing w:after="160"/>
        <w:rPr>
          <w:sz w:val="24"/>
          <w:szCs w:val="24"/>
        </w:rPr>
      </w:pPr>
      <w:r w:rsidRPr="00AB3A09">
        <w:rPr>
          <w:sz w:val="24"/>
          <w:szCs w:val="24"/>
        </w:rPr>
        <w:t xml:space="preserve">CSEF puts public officials in the same room as the developers, architects, contractors, and financial advisors carrying out P3 projects across the country. Building these relationships before we need them shortens procurement timelines, improves the quality of our RFP responses, and gives us a clearer picture of current market capacity and deal structures. Combined with peer-to-peer learning from other public agencies navigating similar challenges, attendance is expected to reduce ambiguity, strengthen our </w:t>
      </w:r>
      <w:r w:rsidRPr="00AB3A09">
        <w:rPr>
          <w:sz w:val="24"/>
          <w:szCs w:val="24"/>
        </w:rPr>
        <w:t>procurement approach, and accelerate delivery on current and future venue initiatives.</w:t>
      </w:r>
    </w:p>
    <w:p w14:paraId="7DB47304" w14:textId="3274856E" w:rsidR="00A22A30" w:rsidRPr="00AB3A09" w:rsidRDefault="00C71E11">
      <w:pPr>
        <w:spacing w:after="160"/>
        <w:rPr>
          <w:sz w:val="24"/>
          <w:szCs w:val="24"/>
        </w:rPr>
      </w:pPr>
      <w:r w:rsidRPr="00AB3A09">
        <w:rPr>
          <w:b/>
          <w:bCs/>
          <w:sz w:val="24"/>
          <w:szCs w:val="24"/>
        </w:rPr>
        <w:t xml:space="preserve">Next Step: </w:t>
      </w:r>
      <w:r w:rsidRPr="00AB3A09">
        <w:rPr>
          <w:sz w:val="24"/>
          <w:szCs w:val="24"/>
        </w:rPr>
        <w:t xml:space="preserve">Once approved, I will register online at </w:t>
      </w:r>
      <w:hyperlink r:id="rId5" w:history="1">
        <w:r w:rsidR="00AB3A09" w:rsidRPr="00AB3A09">
          <w:rPr>
            <w:rStyle w:val="Hyperlink"/>
            <w:sz w:val="24"/>
            <w:szCs w:val="24"/>
          </w:rPr>
          <w:t>https://www.csefconference.com</w:t>
        </w:r>
      </w:hyperlink>
      <w:r w:rsidRPr="00AB3A09">
        <w:rPr>
          <w:sz w:val="24"/>
          <w:szCs w:val="24"/>
        </w:rPr>
        <w:t xml:space="preserve">. For questions, contact </w:t>
      </w:r>
      <w:r w:rsidR="00AB3A09" w:rsidRPr="00AB3A09">
        <w:rPr>
          <w:sz w:val="24"/>
          <w:szCs w:val="24"/>
        </w:rPr>
        <w:t>Client Services</w:t>
      </w:r>
      <w:r w:rsidRPr="00AB3A09">
        <w:rPr>
          <w:sz w:val="24"/>
          <w:szCs w:val="24"/>
        </w:rPr>
        <w:t xml:space="preserve"> at </w:t>
      </w:r>
      <w:hyperlink r:id="rId6" w:history="1">
        <w:r w:rsidR="00AB3A09" w:rsidRPr="00AB3A09">
          <w:rPr>
            <w:rStyle w:val="Hyperlink"/>
            <w:sz w:val="24"/>
            <w:szCs w:val="24"/>
          </w:rPr>
          <w:t>clientservices@accessintel.com</w:t>
        </w:r>
      </w:hyperlink>
      <w:r w:rsidR="00AB3A09" w:rsidRPr="00AB3A09">
        <w:rPr>
          <w:sz w:val="24"/>
          <w:szCs w:val="24"/>
        </w:rPr>
        <w:t xml:space="preserve"> </w:t>
      </w:r>
      <w:r w:rsidRPr="00AB3A09">
        <w:rPr>
          <w:sz w:val="24"/>
          <w:szCs w:val="24"/>
        </w:rPr>
        <w:t>or 888-707-5814.</w:t>
      </w:r>
    </w:p>
    <w:p w14:paraId="0EAD5C63" w14:textId="77777777" w:rsidR="00A22A30" w:rsidRPr="00AB3A09" w:rsidRDefault="00C71E11">
      <w:pPr>
        <w:spacing w:after="160"/>
        <w:rPr>
          <w:sz w:val="24"/>
          <w:szCs w:val="24"/>
        </w:rPr>
      </w:pPr>
      <w:r w:rsidRPr="00AB3A09">
        <w:rPr>
          <w:sz w:val="24"/>
          <w:szCs w:val="24"/>
        </w:rPr>
        <w:t>I am prepared to answer any questions and can provide additional program details upon request.</w:t>
      </w:r>
    </w:p>
    <w:p w14:paraId="2BBE063A" w14:textId="77777777" w:rsidR="00A22A30" w:rsidRPr="00AB3A09" w:rsidRDefault="00C71E11">
      <w:pPr>
        <w:spacing w:after="200"/>
        <w:rPr>
          <w:sz w:val="24"/>
          <w:szCs w:val="24"/>
        </w:rPr>
      </w:pPr>
      <w:r w:rsidRPr="00AB3A09">
        <w:rPr>
          <w:sz w:val="24"/>
          <w:szCs w:val="24"/>
        </w:rPr>
        <w:t>Respectfully,</w:t>
      </w:r>
    </w:p>
    <w:p w14:paraId="3401A4C1" w14:textId="77777777" w:rsidR="00A22A30" w:rsidRPr="00AB3A09" w:rsidRDefault="00C71E11">
      <w:pPr>
        <w:spacing w:after="0"/>
        <w:rPr>
          <w:sz w:val="24"/>
          <w:szCs w:val="24"/>
        </w:rPr>
      </w:pPr>
      <w:r w:rsidRPr="00AB3A09">
        <w:rPr>
          <w:sz w:val="24"/>
          <w:szCs w:val="24"/>
        </w:rPr>
        <w:t>{{Your Name • Title • Agency/Unit • Email • Phone}}</w:t>
      </w:r>
    </w:p>
    <w:sectPr w:rsidR="00A22A30" w:rsidRPr="00AB3A09" w:rsidSect="00AB3A09">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5370"/>
    <w:multiLevelType w:val="hybridMultilevel"/>
    <w:tmpl w:val="7E700C1C"/>
    <w:lvl w:ilvl="0" w:tplc="E1E830F8">
      <w:start w:val="1"/>
      <w:numFmt w:val="bullet"/>
      <w:lvlText w:val="●"/>
      <w:lvlJc w:val="left"/>
      <w:pPr>
        <w:ind w:left="720" w:hanging="360"/>
      </w:pPr>
    </w:lvl>
    <w:lvl w:ilvl="1" w:tplc="20F0D762">
      <w:start w:val="1"/>
      <w:numFmt w:val="bullet"/>
      <w:lvlText w:val="○"/>
      <w:lvlJc w:val="left"/>
      <w:pPr>
        <w:ind w:left="1440" w:hanging="360"/>
      </w:pPr>
    </w:lvl>
    <w:lvl w:ilvl="2" w:tplc="84F88FC2">
      <w:start w:val="1"/>
      <w:numFmt w:val="bullet"/>
      <w:lvlText w:val="■"/>
      <w:lvlJc w:val="left"/>
      <w:pPr>
        <w:ind w:left="2160" w:hanging="360"/>
      </w:pPr>
    </w:lvl>
    <w:lvl w:ilvl="3" w:tplc="A8B47E0C">
      <w:start w:val="1"/>
      <w:numFmt w:val="bullet"/>
      <w:lvlText w:val="●"/>
      <w:lvlJc w:val="left"/>
      <w:pPr>
        <w:ind w:left="2880" w:hanging="360"/>
      </w:pPr>
    </w:lvl>
    <w:lvl w:ilvl="4" w:tplc="FE0237A6">
      <w:start w:val="1"/>
      <w:numFmt w:val="bullet"/>
      <w:lvlText w:val="○"/>
      <w:lvlJc w:val="left"/>
      <w:pPr>
        <w:ind w:left="3600" w:hanging="360"/>
      </w:pPr>
    </w:lvl>
    <w:lvl w:ilvl="5" w:tplc="26588C2E">
      <w:start w:val="1"/>
      <w:numFmt w:val="bullet"/>
      <w:lvlText w:val="■"/>
      <w:lvlJc w:val="left"/>
      <w:pPr>
        <w:ind w:left="4320" w:hanging="360"/>
      </w:pPr>
    </w:lvl>
    <w:lvl w:ilvl="6" w:tplc="2D883BD2">
      <w:start w:val="1"/>
      <w:numFmt w:val="bullet"/>
      <w:lvlText w:val="●"/>
      <w:lvlJc w:val="left"/>
      <w:pPr>
        <w:ind w:left="5040" w:hanging="360"/>
      </w:pPr>
    </w:lvl>
    <w:lvl w:ilvl="7" w:tplc="47620CA2">
      <w:start w:val="1"/>
      <w:numFmt w:val="bullet"/>
      <w:lvlText w:val="●"/>
      <w:lvlJc w:val="left"/>
      <w:pPr>
        <w:ind w:left="5760" w:hanging="360"/>
      </w:pPr>
    </w:lvl>
    <w:lvl w:ilvl="8" w:tplc="04AEF456">
      <w:start w:val="1"/>
      <w:numFmt w:val="bullet"/>
      <w:lvlText w:val="●"/>
      <w:lvlJc w:val="left"/>
      <w:pPr>
        <w:ind w:left="6480" w:hanging="360"/>
      </w:pPr>
    </w:lvl>
  </w:abstractNum>
  <w:num w:numId="1" w16cid:durableId="905918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30"/>
    <w:rsid w:val="003B5E76"/>
    <w:rsid w:val="00A22A30"/>
    <w:rsid w:val="00AB3A09"/>
    <w:rsid w:val="00C7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B5A9"/>
  <w15:docId w15:val="{94419D1C-C020-4A83-BB46-52E6A0BE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B3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wagner@accessintel.com?subject=CSEF%202026%20Question" TargetMode="External"/><Relationship Id="rId5" Type="http://schemas.openxmlformats.org/officeDocument/2006/relationships/hyperlink" Target="https://www.csefconfere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Beth Wagner</cp:lastModifiedBy>
  <cp:revision>3</cp:revision>
  <dcterms:created xsi:type="dcterms:W3CDTF">2026-06-11T20:34:00Z</dcterms:created>
  <dcterms:modified xsi:type="dcterms:W3CDTF">2026-06-11T20:38:00Z</dcterms:modified>
</cp:coreProperties>
</file>