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50EC3" w14:textId="77777777" w:rsidR="00583231" w:rsidRPr="000E22EF" w:rsidRDefault="00185120" w:rsidP="00B873D3">
      <w:pPr>
        <w:spacing w:after="160"/>
        <w:jc w:val="center"/>
        <w:rPr>
          <w:color w:val="4472C4" w:themeColor="accent1"/>
          <w:sz w:val="28"/>
          <w:szCs w:val="28"/>
        </w:rPr>
      </w:pPr>
      <w:r w:rsidRPr="000E22EF">
        <w:rPr>
          <w:b/>
          <w:bCs/>
          <w:color w:val="4472C4" w:themeColor="accent1"/>
          <w:sz w:val="32"/>
          <w:szCs w:val="32"/>
        </w:rPr>
        <w:t>Justification Letter — Industry / Private Sector Attendee</w:t>
      </w:r>
    </w:p>
    <w:p w14:paraId="67F096EC" w14:textId="77777777" w:rsidR="000E22EF" w:rsidRDefault="000E22EF">
      <w:pPr>
        <w:spacing w:after="80"/>
        <w:rPr>
          <w:b/>
          <w:bCs/>
          <w:sz w:val="24"/>
          <w:szCs w:val="24"/>
        </w:rPr>
      </w:pPr>
    </w:p>
    <w:p w14:paraId="71140A41" w14:textId="135611AB" w:rsidR="00583231" w:rsidRPr="00B873D3" w:rsidRDefault="00185120">
      <w:pPr>
        <w:spacing w:after="80"/>
        <w:rPr>
          <w:sz w:val="24"/>
          <w:szCs w:val="24"/>
        </w:rPr>
      </w:pPr>
      <w:r w:rsidRPr="00B873D3">
        <w:rPr>
          <w:b/>
          <w:bCs/>
          <w:sz w:val="24"/>
          <w:szCs w:val="24"/>
        </w:rPr>
        <w:t xml:space="preserve">Subject: </w:t>
      </w:r>
      <w:r w:rsidRPr="00B873D3">
        <w:rPr>
          <w:sz w:val="24"/>
          <w:szCs w:val="24"/>
        </w:rPr>
        <w:t>Request to Attend the 2026 CSEF Conference (Sep 8–10, 2026, Kansas City, MO)</w:t>
      </w:r>
    </w:p>
    <w:p w14:paraId="28DA6164" w14:textId="77777777" w:rsidR="00583231" w:rsidRPr="00B873D3" w:rsidRDefault="00185120">
      <w:pPr>
        <w:spacing w:after="80"/>
        <w:rPr>
          <w:sz w:val="24"/>
          <w:szCs w:val="24"/>
        </w:rPr>
      </w:pPr>
      <w:r w:rsidRPr="00B873D3">
        <w:rPr>
          <w:b/>
          <w:bCs/>
          <w:sz w:val="24"/>
          <w:szCs w:val="24"/>
        </w:rPr>
        <w:t xml:space="preserve">To: </w:t>
      </w:r>
    </w:p>
    <w:p w14:paraId="5CD703E1" w14:textId="77777777" w:rsidR="00583231" w:rsidRPr="00B873D3" w:rsidRDefault="00185120">
      <w:pPr>
        <w:spacing w:after="80"/>
        <w:rPr>
          <w:sz w:val="24"/>
          <w:szCs w:val="24"/>
        </w:rPr>
      </w:pPr>
      <w:r w:rsidRPr="00B873D3">
        <w:rPr>
          <w:b/>
          <w:bCs/>
          <w:sz w:val="24"/>
          <w:szCs w:val="24"/>
        </w:rPr>
        <w:t xml:space="preserve">From: </w:t>
      </w:r>
    </w:p>
    <w:p w14:paraId="3FBCC4AD" w14:textId="77777777" w:rsidR="00583231" w:rsidRPr="00B873D3" w:rsidRDefault="00185120">
      <w:pPr>
        <w:spacing w:after="160"/>
        <w:rPr>
          <w:sz w:val="24"/>
          <w:szCs w:val="24"/>
        </w:rPr>
      </w:pPr>
      <w:r w:rsidRPr="00B873D3">
        <w:rPr>
          <w:b/>
          <w:bCs/>
          <w:sz w:val="24"/>
          <w:szCs w:val="24"/>
        </w:rPr>
        <w:t xml:space="preserve">Date: </w:t>
      </w:r>
    </w:p>
    <w:p w14:paraId="47D1F6F1" w14:textId="77777777" w:rsidR="00583231" w:rsidRPr="00B873D3" w:rsidRDefault="00185120">
      <w:pPr>
        <w:pStyle w:val="Heading2"/>
        <w:spacing w:after="80"/>
        <w:rPr>
          <w:sz w:val="28"/>
          <w:szCs w:val="28"/>
        </w:rPr>
      </w:pPr>
      <w:r w:rsidRPr="00B873D3">
        <w:rPr>
          <w:sz w:val="28"/>
          <w:szCs w:val="28"/>
        </w:rPr>
        <w:t>Request</w:t>
      </w:r>
    </w:p>
    <w:p w14:paraId="5CFB4A13" w14:textId="77777777" w:rsidR="00583231" w:rsidRPr="00B873D3" w:rsidRDefault="00185120">
      <w:pPr>
        <w:spacing w:after="160"/>
        <w:rPr>
          <w:sz w:val="24"/>
          <w:szCs w:val="24"/>
        </w:rPr>
      </w:pPr>
      <w:r w:rsidRPr="00B873D3">
        <w:rPr>
          <w:sz w:val="24"/>
          <w:szCs w:val="24"/>
        </w:rPr>
        <w:t xml:space="preserve">I request approval to attend the 2026 CSEF Conference (Sep 8–10, Kansas City Convention Center, Kansas City, MO). The Convention, Sports &amp; Entertainment Facilities Conference (CSEF) — csefconference.com — is the premier project delivery conference for professionals who design, build, finance, and advise on major convention, sports, and entertainment facilities. It brings together public sector project owners, developers, architects, contractors, financial advisors, and legal counsel working on real capital </w:t>
      </w:r>
      <w:r w:rsidRPr="00B873D3">
        <w:rPr>
          <w:sz w:val="24"/>
          <w:szCs w:val="24"/>
        </w:rPr>
        <w:t>projects nationwide, offering direct access to the public agencies and project owners who drive procurement decisions in this industry.</w:t>
      </w:r>
    </w:p>
    <w:p w14:paraId="2F55A288" w14:textId="77777777" w:rsidR="00583231" w:rsidRPr="00B873D3" w:rsidRDefault="00185120">
      <w:pPr>
        <w:pStyle w:val="Heading2"/>
        <w:spacing w:after="80"/>
        <w:rPr>
          <w:sz w:val="28"/>
          <w:szCs w:val="28"/>
        </w:rPr>
      </w:pPr>
      <w:r w:rsidRPr="00B873D3">
        <w:rPr>
          <w:sz w:val="28"/>
          <w:szCs w:val="28"/>
        </w:rPr>
        <w:t>Why Attendance Is a Strong Business Investment</w:t>
      </w:r>
    </w:p>
    <w:p w14:paraId="0348F6E7" w14:textId="77777777" w:rsidR="00583231" w:rsidRPr="00B873D3" w:rsidRDefault="00185120">
      <w:pPr>
        <w:pStyle w:val="ListParagraph"/>
        <w:numPr>
          <w:ilvl w:val="0"/>
          <w:numId w:val="1"/>
        </w:numPr>
        <w:spacing w:after="80"/>
        <w:rPr>
          <w:sz w:val="24"/>
          <w:szCs w:val="24"/>
        </w:rPr>
      </w:pPr>
      <w:r w:rsidRPr="00B873D3">
        <w:rPr>
          <w:b/>
          <w:bCs/>
          <w:sz w:val="24"/>
          <w:szCs w:val="24"/>
        </w:rPr>
        <w:t xml:space="preserve">Pipeline access before the RFP. </w:t>
      </w:r>
      <w:r w:rsidRPr="00B873D3">
        <w:rPr>
          <w:sz w:val="24"/>
          <w:szCs w:val="24"/>
        </w:rPr>
        <w:t>CSEF is where public sector project owners present active developments and procurement plans. Based on past attendee experience, relationships built here often precede formal RFP processes by six to eighteen months.</w:t>
      </w:r>
    </w:p>
    <w:p w14:paraId="2134B7F0" w14:textId="77777777" w:rsidR="00583231" w:rsidRPr="00B873D3" w:rsidRDefault="00185120">
      <w:pPr>
        <w:pStyle w:val="ListParagraph"/>
        <w:numPr>
          <w:ilvl w:val="0"/>
          <w:numId w:val="1"/>
        </w:numPr>
        <w:spacing w:after="80"/>
        <w:rPr>
          <w:sz w:val="24"/>
          <w:szCs w:val="24"/>
        </w:rPr>
      </w:pPr>
      <w:r w:rsidRPr="00B873D3">
        <w:rPr>
          <w:b/>
          <w:bCs/>
          <w:sz w:val="24"/>
          <w:szCs w:val="24"/>
        </w:rPr>
        <w:t xml:space="preserve">Direct access to decision-makers. </w:t>
      </w:r>
      <w:r w:rsidRPr="00B873D3">
        <w:rPr>
          <w:sz w:val="24"/>
          <w:szCs w:val="24"/>
        </w:rPr>
        <w:t>70+ public agencies, city governments, sports authorities, universities, and economic development organizations attend. These are the clients and project owners who select design, construction, financial, and legal partners.</w:t>
      </w:r>
    </w:p>
    <w:p w14:paraId="7E81389E" w14:textId="77777777" w:rsidR="00583231" w:rsidRPr="00B873D3" w:rsidRDefault="00185120">
      <w:pPr>
        <w:pStyle w:val="ListParagraph"/>
        <w:numPr>
          <w:ilvl w:val="0"/>
          <w:numId w:val="1"/>
        </w:numPr>
        <w:spacing w:after="80"/>
        <w:rPr>
          <w:sz w:val="24"/>
          <w:szCs w:val="24"/>
        </w:rPr>
      </w:pPr>
      <w:r w:rsidRPr="00B873D3">
        <w:rPr>
          <w:b/>
          <w:bCs/>
          <w:sz w:val="24"/>
          <w:szCs w:val="24"/>
        </w:rPr>
        <w:t xml:space="preserve">Competitive intelligence. </w:t>
      </w:r>
      <w:r w:rsidRPr="00B873D3">
        <w:rPr>
          <w:sz w:val="24"/>
          <w:szCs w:val="24"/>
        </w:rPr>
        <w:t>Sessions cover delivery model trends, P3 deal structures, fan experience standards, sustainability requirements, and financing innovations — the forces reshaping how clients evaluate and select firms. (Verify current agenda at csefconference.com before submitting.)</w:t>
      </w:r>
    </w:p>
    <w:p w14:paraId="3E6612B7" w14:textId="77777777" w:rsidR="00583231" w:rsidRPr="00B873D3" w:rsidRDefault="00185120">
      <w:pPr>
        <w:pStyle w:val="ListParagraph"/>
        <w:numPr>
          <w:ilvl w:val="0"/>
          <w:numId w:val="1"/>
        </w:numPr>
        <w:spacing w:after="80"/>
        <w:rPr>
          <w:sz w:val="24"/>
          <w:szCs w:val="24"/>
        </w:rPr>
      </w:pPr>
      <w:r w:rsidRPr="00B873D3">
        <w:rPr>
          <w:b/>
          <w:bCs/>
          <w:sz w:val="24"/>
          <w:szCs w:val="24"/>
        </w:rPr>
        <w:t xml:space="preserve">Peer benchmarking. </w:t>
      </w:r>
      <w:r w:rsidRPr="00B873D3">
        <w:rPr>
          <w:sz w:val="24"/>
          <w:szCs w:val="24"/>
        </w:rPr>
        <w:t>Case studies on complex projects including CPKC Stadium, University of Kansas Gateway District Phase 2, and University of Missouri Memorial Stadium — real-world delivery models our team can apply directly.</w:t>
      </w:r>
    </w:p>
    <w:p w14:paraId="6CE8C022" w14:textId="77777777" w:rsidR="00583231" w:rsidRPr="00B873D3" w:rsidRDefault="00185120">
      <w:pPr>
        <w:pStyle w:val="ListParagraph"/>
        <w:numPr>
          <w:ilvl w:val="0"/>
          <w:numId w:val="1"/>
        </w:numPr>
        <w:spacing w:after="80"/>
        <w:rPr>
          <w:sz w:val="24"/>
          <w:szCs w:val="24"/>
        </w:rPr>
      </w:pPr>
      <w:r w:rsidRPr="00B873D3">
        <w:rPr>
          <w:b/>
          <w:bCs/>
          <w:sz w:val="24"/>
          <w:szCs w:val="24"/>
        </w:rPr>
        <w:t xml:space="preserve">Structured networking. </w:t>
      </w:r>
      <w:r w:rsidRPr="00B873D3">
        <w:rPr>
          <w:sz w:val="24"/>
          <w:szCs w:val="24"/>
        </w:rPr>
        <w:t>400+ attendees, structured 1-on-1 meetings, roundtable sessions, and facility tours designed to generate substantive conversations rather than trade show interactions.</w:t>
      </w:r>
    </w:p>
    <w:p w14:paraId="381FC765" w14:textId="77777777" w:rsidR="00583231" w:rsidRPr="00B873D3" w:rsidRDefault="00185120">
      <w:pPr>
        <w:pStyle w:val="ListParagraph"/>
        <w:numPr>
          <w:ilvl w:val="0"/>
          <w:numId w:val="1"/>
        </w:numPr>
        <w:spacing w:after="80"/>
        <w:rPr>
          <w:sz w:val="24"/>
          <w:szCs w:val="24"/>
        </w:rPr>
      </w:pPr>
      <w:r w:rsidRPr="00B873D3">
        <w:rPr>
          <w:b/>
          <w:bCs/>
          <w:sz w:val="24"/>
          <w:szCs w:val="24"/>
        </w:rPr>
        <w:t xml:space="preserve">Professional development. </w:t>
      </w:r>
      <w:r w:rsidRPr="00B873D3">
        <w:rPr>
          <w:sz w:val="24"/>
          <w:szCs w:val="24"/>
        </w:rPr>
        <w:t>Attendees receive a certificate of attendance, documenting participation for professional development records.</w:t>
      </w:r>
    </w:p>
    <w:p w14:paraId="36314F06" w14:textId="77777777" w:rsidR="00583231" w:rsidRPr="00B873D3" w:rsidRDefault="00583231">
      <w:pPr>
        <w:spacing w:after="80"/>
        <w:rPr>
          <w:sz w:val="24"/>
          <w:szCs w:val="24"/>
        </w:rPr>
      </w:pPr>
    </w:p>
    <w:p w14:paraId="1CB17126" w14:textId="77777777" w:rsidR="00583231" w:rsidRPr="00B873D3" w:rsidRDefault="00185120">
      <w:pPr>
        <w:pStyle w:val="Heading2"/>
        <w:spacing w:after="80"/>
        <w:rPr>
          <w:sz w:val="28"/>
          <w:szCs w:val="28"/>
        </w:rPr>
      </w:pPr>
      <w:r w:rsidRPr="00B873D3">
        <w:rPr>
          <w:sz w:val="28"/>
          <w:szCs w:val="28"/>
        </w:rPr>
        <w:t>Anticipated Takeaways</w:t>
      </w:r>
    </w:p>
    <w:p w14:paraId="5E4E7BB8" w14:textId="77777777" w:rsidR="00583231" w:rsidRPr="00B873D3" w:rsidRDefault="00185120">
      <w:pPr>
        <w:pStyle w:val="ListParagraph"/>
        <w:numPr>
          <w:ilvl w:val="0"/>
          <w:numId w:val="1"/>
        </w:numPr>
        <w:spacing w:after="80"/>
        <w:rPr>
          <w:sz w:val="24"/>
          <w:szCs w:val="24"/>
        </w:rPr>
      </w:pPr>
      <w:r w:rsidRPr="00B873D3">
        <w:rPr>
          <w:sz w:val="24"/>
          <w:szCs w:val="24"/>
        </w:rPr>
        <w:t>Pre-RFP introductions to public sector project owners actively planning their next procurement.</w:t>
      </w:r>
    </w:p>
    <w:p w14:paraId="03ED3589" w14:textId="77777777" w:rsidR="00583231" w:rsidRPr="00B873D3" w:rsidRDefault="00185120">
      <w:pPr>
        <w:pStyle w:val="ListParagraph"/>
        <w:numPr>
          <w:ilvl w:val="0"/>
          <w:numId w:val="1"/>
        </w:numPr>
        <w:spacing w:after="80"/>
        <w:rPr>
          <w:sz w:val="24"/>
          <w:szCs w:val="24"/>
        </w:rPr>
      </w:pPr>
      <w:r w:rsidRPr="00B873D3">
        <w:rPr>
          <w:sz w:val="24"/>
          <w:szCs w:val="24"/>
        </w:rPr>
        <w:t>Insight into how public agencies evaluate and select private sector partners — and what they look for before an RFP is written.</w:t>
      </w:r>
    </w:p>
    <w:p w14:paraId="3E2B8DA1" w14:textId="77777777" w:rsidR="00583231" w:rsidRPr="00B873D3" w:rsidRDefault="00185120">
      <w:pPr>
        <w:pStyle w:val="ListParagraph"/>
        <w:numPr>
          <w:ilvl w:val="0"/>
          <w:numId w:val="1"/>
        </w:numPr>
        <w:spacing w:after="80"/>
        <w:rPr>
          <w:sz w:val="24"/>
          <w:szCs w:val="24"/>
        </w:rPr>
      </w:pPr>
      <w:r w:rsidRPr="00B873D3">
        <w:rPr>
          <w:sz w:val="24"/>
          <w:szCs w:val="24"/>
        </w:rPr>
        <w:lastRenderedPageBreak/>
        <w:t>Competitive intelligence on delivery model trends, financing structures, and technology standards shaping client expectations.</w:t>
      </w:r>
    </w:p>
    <w:p w14:paraId="27E5308F" w14:textId="77777777" w:rsidR="00583231" w:rsidRPr="00B873D3" w:rsidRDefault="00185120">
      <w:pPr>
        <w:pStyle w:val="ListParagraph"/>
        <w:numPr>
          <w:ilvl w:val="0"/>
          <w:numId w:val="1"/>
        </w:numPr>
        <w:spacing w:after="80"/>
        <w:rPr>
          <w:sz w:val="24"/>
          <w:szCs w:val="24"/>
        </w:rPr>
      </w:pPr>
      <w:r w:rsidRPr="00B873D3">
        <w:rPr>
          <w:sz w:val="24"/>
          <w:szCs w:val="24"/>
        </w:rPr>
        <w:t>Expanded contacts across government, development, AEC, and legal/financial advisory to strengthen our network and referral base.</w:t>
      </w:r>
    </w:p>
    <w:p w14:paraId="1E8493FA" w14:textId="77777777" w:rsidR="00583231" w:rsidRPr="00B873D3" w:rsidRDefault="00185120">
      <w:pPr>
        <w:pStyle w:val="ListParagraph"/>
        <w:numPr>
          <w:ilvl w:val="0"/>
          <w:numId w:val="1"/>
        </w:numPr>
        <w:spacing w:after="80"/>
        <w:rPr>
          <w:sz w:val="24"/>
          <w:szCs w:val="24"/>
        </w:rPr>
      </w:pPr>
      <w:r w:rsidRPr="00B873D3">
        <w:rPr>
          <w:sz w:val="24"/>
          <w:szCs w:val="24"/>
        </w:rPr>
        <w:t>Certificate of attendance for professional development records.</w:t>
      </w:r>
    </w:p>
    <w:p w14:paraId="5F2D8FDF" w14:textId="77777777" w:rsidR="00583231" w:rsidRPr="00B873D3" w:rsidRDefault="00185120">
      <w:pPr>
        <w:pStyle w:val="ListParagraph"/>
        <w:numPr>
          <w:ilvl w:val="0"/>
          <w:numId w:val="1"/>
        </w:numPr>
        <w:spacing w:after="80"/>
        <w:rPr>
          <w:sz w:val="24"/>
          <w:szCs w:val="24"/>
        </w:rPr>
      </w:pPr>
      <w:r w:rsidRPr="00B873D3">
        <w:rPr>
          <w:sz w:val="24"/>
          <w:szCs w:val="24"/>
        </w:rPr>
        <w:t>Written debrief to leadership within five business days of return, including key takeaways, project leads, and recommended next steps.</w:t>
      </w:r>
    </w:p>
    <w:p w14:paraId="71F544BC" w14:textId="77777777" w:rsidR="00583231" w:rsidRPr="00B873D3" w:rsidRDefault="00583231">
      <w:pPr>
        <w:spacing w:after="80"/>
        <w:rPr>
          <w:sz w:val="24"/>
          <w:szCs w:val="24"/>
        </w:rPr>
      </w:pPr>
    </w:p>
    <w:p w14:paraId="695AE19F" w14:textId="77777777" w:rsidR="00583231" w:rsidRPr="00B873D3" w:rsidRDefault="00185120">
      <w:pPr>
        <w:pStyle w:val="Heading2"/>
        <w:spacing w:after="80"/>
        <w:rPr>
          <w:sz w:val="28"/>
          <w:szCs w:val="28"/>
        </w:rPr>
      </w:pPr>
      <w:r w:rsidRPr="00B873D3">
        <w:rPr>
          <w:sz w:val="28"/>
          <w:szCs w:val="28"/>
        </w:rPr>
        <w:t>Cost (Not-to-Exceed)</w:t>
      </w:r>
    </w:p>
    <w:p w14:paraId="5E8E7E61" w14:textId="037D5C72" w:rsidR="00583231" w:rsidRPr="00B873D3" w:rsidRDefault="00185120">
      <w:pPr>
        <w:pStyle w:val="ListParagraph"/>
        <w:numPr>
          <w:ilvl w:val="0"/>
          <w:numId w:val="1"/>
        </w:numPr>
        <w:spacing w:after="80"/>
        <w:rPr>
          <w:sz w:val="24"/>
          <w:szCs w:val="24"/>
        </w:rPr>
      </w:pPr>
      <w:r w:rsidRPr="00B873D3">
        <w:rPr>
          <w:b/>
          <w:bCs/>
          <w:sz w:val="24"/>
          <w:szCs w:val="24"/>
        </w:rPr>
        <w:t xml:space="preserve">Registration: </w:t>
      </w:r>
      <w:r w:rsidRPr="00B873D3">
        <w:rPr>
          <w:sz w:val="24"/>
          <w:szCs w:val="24"/>
        </w:rPr>
        <w:t xml:space="preserve">$1,695 Advanced </w:t>
      </w:r>
      <w:r w:rsidR="00B873D3">
        <w:rPr>
          <w:sz w:val="24"/>
          <w:szCs w:val="24"/>
        </w:rPr>
        <w:t xml:space="preserve">rate </w:t>
      </w:r>
      <w:r w:rsidRPr="00B873D3">
        <w:rPr>
          <w:sz w:val="24"/>
          <w:szCs w:val="24"/>
        </w:rPr>
        <w:t>(expires 08/07/2026) | $2,095 Standard</w:t>
      </w:r>
      <w:r w:rsidR="00B873D3">
        <w:rPr>
          <w:sz w:val="24"/>
          <w:szCs w:val="24"/>
        </w:rPr>
        <w:t xml:space="preserve"> rate</w:t>
      </w:r>
    </w:p>
    <w:p w14:paraId="1B93457A" w14:textId="77777777" w:rsidR="00583231" w:rsidRPr="00B873D3" w:rsidRDefault="00185120">
      <w:pPr>
        <w:pStyle w:val="ListParagraph"/>
        <w:numPr>
          <w:ilvl w:val="0"/>
          <w:numId w:val="1"/>
        </w:numPr>
        <w:spacing w:after="80"/>
        <w:rPr>
          <w:sz w:val="24"/>
          <w:szCs w:val="24"/>
        </w:rPr>
      </w:pPr>
      <w:r w:rsidRPr="00B873D3">
        <w:rPr>
          <w:b/>
          <w:bCs/>
          <w:sz w:val="24"/>
          <w:szCs w:val="24"/>
        </w:rPr>
        <w:t xml:space="preserve">Travel: </w:t>
      </w:r>
      <w:r w:rsidRPr="00B873D3">
        <w:rPr>
          <w:sz w:val="24"/>
          <w:szCs w:val="24"/>
        </w:rPr>
        <w:t>${{estimate}}</w:t>
      </w:r>
    </w:p>
    <w:p w14:paraId="7BDD24EB" w14:textId="77777777" w:rsidR="00583231" w:rsidRPr="00B873D3" w:rsidRDefault="00185120">
      <w:pPr>
        <w:pStyle w:val="ListParagraph"/>
        <w:numPr>
          <w:ilvl w:val="0"/>
          <w:numId w:val="1"/>
        </w:numPr>
        <w:spacing w:after="80"/>
        <w:rPr>
          <w:sz w:val="24"/>
          <w:szCs w:val="24"/>
        </w:rPr>
      </w:pPr>
      <w:r w:rsidRPr="00B873D3">
        <w:rPr>
          <w:b/>
          <w:bCs/>
          <w:sz w:val="24"/>
          <w:szCs w:val="24"/>
        </w:rPr>
        <w:t xml:space="preserve">Lodging: </w:t>
      </w:r>
      <w:r w:rsidRPr="00B873D3">
        <w:rPr>
          <w:sz w:val="24"/>
          <w:szCs w:val="24"/>
        </w:rPr>
        <w:t>${{estimate}}</w:t>
      </w:r>
    </w:p>
    <w:p w14:paraId="6DDE5623" w14:textId="77777777" w:rsidR="00583231" w:rsidRPr="00B873D3" w:rsidRDefault="00185120">
      <w:pPr>
        <w:pStyle w:val="ListParagraph"/>
        <w:numPr>
          <w:ilvl w:val="0"/>
          <w:numId w:val="1"/>
        </w:numPr>
        <w:spacing w:after="80"/>
        <w:rPr>
          <w:sz w:val="24"/>
          <w:szCs w:val="24"/>
        </w:rPr>
      </w:pPr>
      <w:r w:rsidRPr="00B873D3">
        <w:rPr>
          <w:b/>
          <w:bCs/>
          <w:sz w:val="24"/>
          <w:szCs w:val="24"/>
        </w:rPr>
        <w:t xml:space="preserve">Meals &amp; Incidentals: </w:t>
      </w:r>
      <w:r w:rsidRPr="00B873D3">
        <w:rPr>
          <w:sz w:val="24"/>
          <w:szCs w:val="24"/>
        </w:rPr>
        <w:t>${{estimate}}</w:t>
      </w:r>
    </w:p>
    <w:p w14:paraId="23F6E06C" w14:textId="77777777" w:rsidR="00185120" w:rsidRDefault="00185120">
      <w:pPr>
        <w:spacing w:after="80"/>
        <w:rPr>
          <w:b/>
          <w:bCs/>
          <w:sz w:val="24"/>
          <w:szCs w:val="24"/>
        </w:rPr>
      </w:pPr>
    </w:p>
    <w:p w14:paraId="059B65D8" w14:textId="0316FD0F" w:rsidR="00583231" w:rsidRPr="00B873D3" w:rsidRDefault="00185120">
      <w:pPr>
        <w:spacing w:after="80"/>
        <w:rPr>
          <w:sz w:val="24"/>
          <w:szCs w:val="24"/>
        </w:rPr>
      </w:pPr>
      <w:r w:rsidRPr="00B873D3">
        <w:rPr>
          <w:b/>
          <w:bCs/>
          <w:sz w:val="24"/>
          <w:szCs w:val="24"/>
        </w:rPr>
        <w:t xml:space="preserve">Total NTE: </w:t>
      </w:r>
      <w:r w:rsidRPr="00B873D3">
        <w:rPr>
          <w:sz w:val="24"/>
          <w:szCs w:val="24"/>
        </w:rPr>
        <w:t>${{total}}</w:t>
      </w:r>
    </w:p>
    <w:p w14:paraId="359EBCF4" w14:textId="77777777" w:rsidR="00583231" w:rsidRPr="00B873D3" w:rsidRDefault="00185120">
      <w:pPr>
        <w:spacing w:after="80"/>
        <w:rPr>
          <w:sz w:val="24"/>
          <w:szCs w:val="24"/>
        </w:rPr>
      </w:pPr>
      <w:r w:rsidRPr="00B873D3">
        <w:rPr>
          <w:sz w:val="24"/>
          <w:szCs w:val="24"/>
        </w:rPr>
        <w:t>(See attached Cost Worksheet for full line-item breakdown and supporting estimates.)</w:t>
      </w:r>
    </w:p>
    <w:p w14:paraId="25C399EF" w14:textId="03AADD7B" w:rsidR="00583231" w:rsidRPr="00B873D3" w:rsidRDefault="00185120">
      <w:pPr>
        <w:spacing w:after="160"/>
        <w:rPr>
          <w:sz w:val="24"/>
          <w:szCs w:val="24"/>
        </w:rPr>
      </w:pPr>
      <w:r w:rsidRPr="00B873D3">
        <w:rPr>
          <w:b/>
          <w:bCs/>
          <w:sz w:val="24"/>
          <w:szCs w:val="24"/>
        </w:rPr>
        <w:t xml:space="preserve">Group rates: </w:t>
      </w:r>
      <w:r w:rsidRPr="00B873D3">
        <w:rPr>
          <w:sz w:val="24"/>
          <w:szCs w:val="24"/>
        </w:rPr>
        <w:t xml:space="preserve">Available for firms sending four or more attendees. Contact Beth Wagner at </w:t>
      </w:r>
      <w:hyperlink r:id="rId5" w:history="1">
        <w:r w:rsidRPr="00B873D3">
          <w:rPr>
            <w:rStyle w:val="Hyperlink"/>
            <w:sz w:val="24"/>
            <w:szCs w:val="24"/>
          </w:rPr>
          <w:t>bwagner@accessintel.com</w:t>
        </w:r>
      </w:hyperlink>
      <w:r w:rsidRPr="00B873D3">
        <w:rPr>
          <w:sz w:val="24"/>
          <w:szCs w:val="24"/>
        </w:rPr>
        <w:t xml:space="preserve"> for details.</w:t>
      </w:r>
    </w:p>
    <w:p w14:paraId="5BF52FA1" w14:textId="77777777" w:rsidR="00583231" w:rsidRPr="00B873D3" w:rsidRDefault="00185120">
      <w:pPr>
        <w:pStyle w:val="Heading2"/>
        <w:spacing w:after="80"/>
        <w:rPr>
          <w:sz w:val="28"/>
          <w:szCs w:val="28"/>
        </w:rPr>
      </w:pPr>
      <w:r w:rsidRPr="00B873D3">
        <w:rPr>
          <w:sz w:val="28"/>
          <w:szCs w:val="28"/>
        </w:rPr>
        <w:t>Time Away / Coverage</w:t>
      </w:r>
    </w:p>
    <w:p w14:paraId="68310A1A" w14:textId="77777777" w:rsidR="00583231" w:rsidRPr="00B873D3" w:rsidRDefault="00185120">
      <w:pPr>
        <w:spacing w:after="160"/>
        <w:rPr>
          <w:sz w:val="24"/>
          <w:szCs w:val="24"/>
        </w:rPr>
      </w:pPr>
      <w:r w:rsidRPr="00B873D3">
        <w:rPr>
          <w:sz w:val="24"/>
          <w:szCs w:val="24"/>
        </w:rPr>
        <w:t>{{#}} workdays on site; coverage by {{colleague/team}}.</w:t>
      </w:r>
    </w:p>
    <w:p w14:paraId="3C5D86C0" w14:textId="77777777" w:rsidR="00583231" w:rsidRPr="00B873D3" w:rsidRDefault="00185120">
      <w:pPr>
        <w:pStyle w:val="Heading2"/>
        <w:spacing w:after="80"/>
        <w:rPr>
          <w:sz w:val="28"/>
          <w:szCs w:val="28"/>
        </w:rPr>
      </w:pPr>
      <w:r w:rsidRPr="00B873D3">
        <w:rPr>
          <w:sz w:val="28"/>
          <w:szCs w:val="28"/>
        </w:rPr>
        <w:t>Return on Investment</w:t>
      </w:r>
    </w:p>
    <w:p w14:paraId="6B073E87" w14:textId="77777777" w:rsidR="00583231" w:rsidRPr="00B873D3" w:rsidRDefault="00185120">
      <w:pPr>
        <w:spacing w:after="160"/>
        <w:rPr>
          <w:sz w:val="24"/>
          <w:szCs w:val="24"/>
        </w:rPr>
      </w:pPr>
      <w:r w:rsidRPr="00B873D3">
        <w:rPr>
          <w:sz w:val="24"/>
          <w:szCs w:val="24"/>
        </w:rPr>
        <w:t>CSEF is the only conference that places our firm in the same room as the public sector decision-makers who are actively planning the next generation of major venue projects. The access, relationships, and competitive intelligence gained here directly inform our pursuit strategy, sharpen our RFP responses, and strengthen our position relative to competing firms. A single productive relationship with a project owner pursuing a significant development represents a return that is orders of magnitude greater tha</w:t>
      </w:r>
      <w:r w:rsidRPr="00B873D3">
        <w:rPr>
          <w:sz w:val="24"/>
          <w:szCs w:val="24"/>
        </w:rPr>
        <w:t>n the cost of attendance. CSEF is where that pipeline starts.</w:t>
      </w:r>
    </w:p>
    <w:p w14:paraId="0FF6A586" w14:textId="77777777" w:rsidR="00583231" w:rsidRPr="00B873D3" w:rsidRDefault="00185120">
      <w:pPr>
        <w:spacing w:after="160"/>
        <w:rPr>
          <w:sz w:val="24"/>
          <w:szCs w:val="24"/>
        </w:rPr>
      </w:pPr>
      <w:r w:rsidRPr="00B873D3">
        <w:rPr>
          <w:b/>
          <w:bCs/>
          <w:sz w:val="24"/>
          <w:szCs w:val="24"/>
        </w:rPr>
        <w:t xml:space="preserve">Commitment: </w:t>
      </w:r>
      <w:r w:rsidRPr="00B873D3">
        <w:rPr>
          <w:sz w:val="24"/>
          <w:szCs w:val="24"/>
        </w:rPr>
        <w:t>I will deliver a written debrief to leadership within five business days of returning, covering key takeaways, new contacts, and recommended next steps.</w:t>
      </w:r>
    </w:p>
    <w:p w14:paraId="20E1BD32" w14:textId="77777777" w:rsidR="00B873D3" w:rsidRPr="00AB3A09" w:rsidRDefault="00B873D3" w:rsidP="00B873D3">
      <w:pPr>
        <w:spacing w:after="160"/>
        <w:rPr>
          <w:sz w:val="24"/>
          <w:szCs w:val="24"/>
        </w:rPr>
      </w:pPr>
      <w:r w:rsidRPr="00AB3A09">
        <w:rPr>
          <w:b/>
          <w:bCs/>
          <w:sz w:val="24"/>
          <w:szCs w:val="24"/>
        </w:rPr>
        <w:t xml:space="preserve">Next Step: </w:t>
      </w:r>
      <w:r w:rsidRPr="00AB3A09">
        <w:rPr>
          <w:sz w:val="24"/>
          <w:szCs w:val="24"/>
        </w:rPr>
        <w:t xml:space="preserve">Once approved, I will register online at </w:t>
      </w:r>
      <w:hyperlink r:id="rId6" w:history="1">
        <w:r w:rsidRPr="00AB3A09">
          <w:rPr>
            <w:rStyle w:val="Hyperlink"/>
            <w:sz w:val="24"/>
            <w:szCs w:val="24"/>
          </w:rPr>
          <w:t>https://www.csefconference.com</w:t>
        </w:r>
      </w:hyperlink>
      <w:r w:rsidRPr="00AB3A09">
        <w:rPr>
          <w:sz w:val="24"/>
          <w:szCs w:val="24"/>
        </w:rPr>
        <w:t xml:space="preserve">. For questions, contact Client Services at </w:t>
      </w:r>
      <w:hyperlink r:id="rId7" w:history="1">
        <w:r w:rsidRPr="00AB3A09">
          <w:rPr>
            <w:rStyle w:val="Hyperlink"/>
            <w:sz w:val="24"/>
            <w:szCs w:val="24"/>
          </w:rPr>
          <w:t>clientservices@accessintel.com</w:t>
        </w:r>
      </w:hyperlink>
      <w:r w:rsidRPr="00AB3A09">
        <w:rPr>
          <w:sz w:val="24"/>
          <w:szCs w:val="24"/>
        </w:rPr>
        <w:t xml:space="preserve"> or 888-707-5814.</w:t>
      </w:r>
    </w:p>
    <w:p w14:paraId="127C9EAB" w14:textId="77777777" w:rsidR="00583231" w:rsidRPr="00B873D3" w:rsidRDefault="00185120">
      <w:pPr>
        <w:spacing w:after="160"/>
        <w:rPr>
          <w:sz w:val="24"/>
          <w:szCs w:val="24"/>
        </w:rPr>
      </w:pPr>
      <w:r w:rsidRPr="00B873D3">
        <w:rPr>
          <w:sz w:val="24"/>
          <w:szCs w:val="24"/>
        </w:rPr>
        <w:t>I am prepared to answer any questions and can provide additional program details upon request.</w:t>
      </w:r>
    </w:p>
    <w:p w14:paraId="51DFB8B2" w14:textId="77777777" w:rsidR="00583231" w:rsidRPr="00B873D3" w:rsidRDefault="00185120">
      <w:pPr>
        <w:spacing w:after="200"/>
        <w:rPr>
          <w:sz w:val="24"/>
          <w:szCs w:val="24"/>
        </w:rPr>
      </w:pPr>
      <w:r w:rsidRPr="00B873D3">
        <w:rPr>
          <w:sz w:val="24"/>
          <w:szCs w:val="24"/>
        </w:rPr>
        <w:t>Respectfully,</w:t>
      </w:r>
    </w:p>
    <w:p w14:paraId="0EBD75CF" w14:textId="77777777" w:rsidR="00583231" w:rsidRPr="00B873D3" w:rsidRDefault="00185120">
      <w:pPr>
        <w:spacing w:after="0"/>
        <w:rPr>
          <w:sz w:val="24"/>
          <w:szCs w:val="24"/>
        </w:rPr>
      </w:pPr>
      <w:r w:rsidRPr="00B873D3">
        <w:rPr>
          <w:sz w:val="24"/>
          <w:szCs w:val="24"/>
        </w:rPr>
        <w:t>{{Your Name • Title • Firm • Email • Phone}}</w:t>
      </w:r>
    </w:p>
    <w:sectPr w:rsidR="00583231" w:rsidRPr="00B873D3" w:rsidSect="00B873D3">
      <w:pgSz w:w="11906" w:h="16838"/>
      <w:pgMar w:top="1440" w:right="1080" w:bottom="144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71204"/>
    <w:multiLevelType w:val="hybridMultilevel"/>
    <w:tmpl w:val="B00EB530"/>
    <w:lvl w:ilvl="0" w:tplc="963CFBB0">
      <w:start w:val="1"/>
      <w:numFmt w:val="bullet"/>
      <w:lvlText w:val="●"/>
      <w:lvlJc w:val="left"/>
      <w:pPr>
        <w:ind w:left="720" w:hanging="360"/>
      </w:pPr>
    </w:lvl>
    <w:lvl w:ilvl="1" w:tplc="1B8C3122">
      <w:start w:val="1"/>
      <w:numFmt w:val="bullet"/>
      <w:lvlText w:val="○"/>
      <w:lvlJc w:val="left"/>
      <w:pPr>
        <w:ind w:left="1440" w:hanging="360"/>
      </w:pPr>
    </w:lvl>
    <w:lvl w:ilvl="2" w:tplc="76725B7C">
      <w:start w:val="1"/>
      <w:numFmt w:val="bullet"/>
      <w:lvlText w:val="■"/>
      <w:lvlJc w:val="left"/>
      <w:pPr>
        <w:ind w:left="2160" w:hanging="360"/>
      </w:pPr>
    </w:lvl>
    <w:lvl w:ilvl="3" w:tplc="22BE43B6">
      <w:start w:val="1"/>
      <w:numFmt w:val="bullet"/>
      <w:lvlText w:val="●"/>
      <w:lvlJc w:val="left"/>
      <w:pPr>
        <w:ind w:left="2880" w:hanging="360"/>
      </w:pPr>
    </w:lvl>
    <w:lvl w:ilvl="4" w:tplc="30EC1840">
      <w:start w:val="1"/>
      <w:numFmt w:val="bullet"/>
      <w:lvlText w:val="○"/>
      <w:lvlJc w:val="left"/>
      <w:pPr>
        <w:ind w:left="3600" w:hanging="360"/>
      </w:pPr>
    </w:lvl>
    <w:lvl w:ilvl="5" w:tplc="93FCADF6">
      <w:start w:val="1"/>
      <w:numFmt w:val="bullet"/>
      <w:lvlText w:val="■"/>
      <w:lvlJc w:val="left"/>
      <w:pPr>
        <w:ind w:left="4320" w:hanging="360"/>
      </w:pPr>
    </w:lvl>
    <w:lvl w:ilvl="6" w:tplc="5C6C2928">
      <w:start w:val="1"/>
      <w:numFmt w:val="bullet"/>
      <w:lvlText w:val="●"/>
      <w:lvlJc w:val="left"/>
      <w:pPr>
        <w:ind w:left="5040" w:hanging="360"/>
      </w:pPr>
    </w:lvl>
    <w:lvl w:ilvl="7" w:tplc="2CC4B91E">
      <w:start w:val="1"/>
      <w:numFmt w:val="bullet"/>
      <w:lvlText w:val="●"/>
      <w:lvlJc w:val="left"/>
      <w:pPr>
        <w:ind w:left="5760" w:hanging="360"/>
      </w:pPr>
    </w:lvl>
    <w:lvl w:ilvl="8" w:tplc="6704911E">
      <w:start w:val="1"/>
      <w:numFmt w:val="bullet"/>
      <w:lvlText w:val="●"/>
      <w:lvlJc w:val="left"/>
      <w:pPr>
        <w:ind w:left="6480" w:hanging="360"/>
      </w:pPr>
    </w:lvl>
  </w:abstractNum>
  <w:num w:numId="1" w16cid:durableId="5846072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231"/>
    <w:rsid w:val="000E22EF"/>
    <w:rsid w:val="00185120"/>
    <w:rsid w:val="003B5E76"/>
    <w:rsid w:val="00583231"/>
    <w:rsid w:val="00B87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A00C6"/>
  <w15:docId w15:val="{94419D1C-C020-4A83-BB46-52E6A0BE0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pPr>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B873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wagner@accessintel.com?subject=CSEF%202026%20Ques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sefconference.com" TargetMode="External"/><Relationship Id="rId5" Type="http://schemas.openxmlformats.org/officeDocument/2006/relationships/hyperlink" Target="mailto:bwagner@accessintel.com?subject=CSEF2026%20Group%20Rate%20Discount%20Requeste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705</Words>
  <Characters>4019</Characters>
  <Application>Microsoft Office Word</Application>
  <DocSecurity>0</DocSecurity>
  <Lines>33</Lines>
  <Paragraphs>9</Paragraphs>
  <ScaleCrop>false</ScaleCrop>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Beth Wagner</cp:lastModifiedBy>
  <cp:revision>4</cp:revision>
  <dcterms:created xsi:type="dcterms:W3CDTF">2026-06-11T20:37:00Z</dcterms:created>
  <dcterms:modified xsi:type="dcterms:W3CDTF">2026-06-11T20:37:00Z</dcterms:modified>
</cp:coreProperties>
</file>